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9A" w:rsidRDefault="009F073A" w:rsidP="009F073A">
      <w:pPr>
        <w:jc w:val="center"/>
        <w:rPr>
          <w:rFonts w:ascii="標楷體" w:eastAsia="標楷體" w:hAnsi="標楷體"/>
          <w:b/>
          <w:sz w:val="48"/>
          <w:szCs w:val="52"/>
        </w:rPr>
      </w:pPr>
      <w:r w:rsidRPr="0033282C">
        <w:rPr>
          <w:rFonts w:ascii="標楷體" w:eastAsia="標楷體" w:hAnsi="標楷體" w:hint="eastAsia"/>
          <w:b/>
          <w:sz w:val="48"/>
          <w:szCs w:val="52"/>
        </w:rPr>
        <w:t>桃園市</w:t>
      </w: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52"/>
        </w:rPr>
        <w:t>政府</w:t>
      </w:r>
      <w:r w:rsidRPr="0033282C">
        <w:rPr>
          <w:rFonts w:ascii="標楷體" w:eastAsia="標楷體" w:hAnsi="標楷體" w:hint="eastAsia"/>
          <w:b/>
          <w:sz w:val="48"/>
          <w:szCs w:val="52"/>
        </w:rPr>
        <w:t>荔枝椿象防治</w:t>
      </w:r>
    </w:p>
    <w:p w:rsidR="009F073A" w:rsidRDefault="009F073A" w:rsidP="009F07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分工表：</w:t>
      </w:r>
    </w:p>
    <w:tbl>
      <w:tblPr>
        <w:tblpPr w:leftFromText="180" w:rightFromText="180" w:vertAnchor="text" w:horzAnchor="margin" w:tblpXSpec="center" w:tblpY="228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103"/>
        <w:gridCol w:w="1445"/>
        <w:gridCol w:w="1276"/>
      </w:tblGrid>
      <w:tr w:rsidR="009F073A" w:rsidRPr="00497E64" w:rsidTr="005D6ADE">
        <w:trPr>
          <w:cantSplit/>
          <w:trHeight w:val="20"/>
        </w:trPr>
        <w:tc>
          <w:tcPr>
            <w:tcW w:w="5954" w:type="dxa"/>
            <w:gridSpan w:val="2"/>
            <w:shd w:val="clear" w:color="auto" w:fill="FFFF00"/>
          </w:tcPr>
          <w:p w:rsidR="009F073A" w:rsidRPr="00497E64" w:rsidRDefault="009F073A" w:rsidP="005D6AD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服 務 </w:t>
            </w:r>
            <w:r w:rsidRPr="00497E64">
              <w:rPr>
                <w:rFonts w:ascii="標楷體" w:eastAsia="標楷體" w:hAnsi="標楷體" w:hint="eastAsia"/>
                <w:bCs/>
              </w:rPr>
              <w:t>權 責 分 工 項 目</w:t>
            </w:r>
          </w:p>
        </w:tc>
        <w:tc>
          <w:tcPr>
            <w:tcW w:w="1445" w:type="dxa"/>
            <w:shd w:val="clear" w:color="auto" w:fill="FFFF00"/>
          </w:tcPr>
          <w:p w:rsidR="009F073A" w:rsidRPr="00497E64" w:rsidRDefault="009F073A" w:rsidP="005D6AD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497E64">
              <w:rPr>
                <w:rFonts w:ascii="標楷體" w:eastAsia="標楷體" w:hAnsi="標楷體" w:hint="eastAsia"/>
                <w:bCs/>
              </w:rPr>
              <w:t>主管機關</w:t>
            </w:r>
          </w:p>
        </w:tc>
        <w:tc>
          <w:tcPr>
            <w:tcW w:w="1276" w:type="dxa"/>
            <w:shd w:val="clear" w:color="auto" w:fill="FFFF00"/>
          </w:tcPr>
          <w:p w:rsidR="009F073A" w:rsidRPr="00497E64" w:rsidRDefault="009F073A" w:rsidP="005D6ADE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協辦單位</w:t>
            </w: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 w:val="restart"/>
            <w:vAlign w:val="center"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7E64">
              <w:rPr>
                <w:rFonts w:ascii="標楷體" w:eastAsia="標楷體" w:hAnsi="標楷體" w:hint="eastAsia"/>
                <w:bCs/>
              </w:rPr>
              <w:t>發生地點或設施之宣導監測與防治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農田、農村公共地、苗圃、畜禽養殖場、牧場、休閒農場、漁塭、漁港、林地及無法判定地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農業局</w:t>
            </w:r>
          </w:p>
        </w:tc>
        <w:tc>
          <w:tcPr>
            <w:tcW w:w="1276" w:type="dxa"/>
            <w:vMerge w:val="restart"/>
            <w:vAlign w:val="center"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各區公所</w:t>
            </w: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公寓大廈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建築管理處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里民活動中心、公墓地區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民政局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各地方政府所轄學校、社教館所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市管工業區路樹及中央管工業區路樹之協調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經濟發展局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市管風景區及其他風景遊憩區之協調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觀光旅遊局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市管道路暨綠地路樹及中央管道路之路樹協調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工務局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居家環境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環境保護局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20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公告市管河川區域範圍與公告區域排水範圍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水務局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446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其他各類球場（含高爾夫球場）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體育局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F073A" w:rsidRPr="00497E64" w:rsidTr="005D6ADE">
        <w:trPr>
          <w:cantSplit/>
          <w:trHeight w:val="446"/>
        </w:trPr>
        <w:tc>
          <w:tcPr>
            <w:tcW w:w="851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社區活動中心、婦幼館</w:t>
            </w:r>
          </w:p>
        </w:tc>
        <w:tc>
          <w:tcPr>
            <w:tcW w:w="1445" w:type="dxa"/>
          </w:tcPr>
          <w:p w:rsidR="009F073A" w:rsidRPr="009F073A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F073A">
              <w:rPr>
                <w:rFonts w:ascii="標楷體" w:eastAsia="標楷體" w:hAnsi="標楷體" w:hint="eastAsia"/>
                <w:color w:val="000000" w:themeColor="text1"/>
              </w:rPr>
              <w:t>社會局</w:t>
            </w:r>
          </w:p>
        </w:tc>
        <w:tc>
          <w:tcPr>
            <w:tcW w:w="1276" w:type="dxa"/>
            <w:vMerge/>
          </w:tcPr>
          <w:p w:rsidR="009F073A" w:rsidRPr="00497E64" w:rsidRDefault="009F073A" w:rsidP="005D6ADE">
            <w:pPr>
              <w:tabs>
                <w:tab w:val="left" w:pos="216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F073A" w:rsidRPr="008F1A62" w:rsidRDefault="009F073A" w:rsidP="009F073A">
      <w:pPr>
        <w:widowControl/>
        <w:numPr>
          <w:ilvl w:val="0"/>
          <w:numId w:val="1"/>
        </w:num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F1A62">
        <w:rPr>
          <w:rFonts w:ascii="標楷體" w:eastAsia="標楷體" w:hAnsi="標楷體" w:hint="eastAsia"/>
          <w:sz w:val="28"/>
          <w:szCs w:val="28"/>
        </w:rPr>
        <w:t>針對私有地部分主要為輔導並提供防治方法</w:t>
      </w:r>
      <w:r>
        <w:rPr>
          <w:rFonts w:ascii="標楷體" w:eastAsia="標楷體" w:hAnsi="標楷體" w:hint="eastAsia"/>
          <w:sz w:val="28"/>
          <w:szCs w:val="28"/>
        </w:rPr>
        <w:t>，如輔導後未果始得委請各區公所執行防除作業；針對私有地處理步驟為：輔導民眾自主防治(提供防治方式等資訊)→複檢仍未防治→委請各區公所進行防治。</w:t>
      </w:r>
    </w:p>
    <w:p w:rsidR="009F073A" w:rsidRPr="009F073A" w:rsidRDefault="009F073A" w:rsidP="009F073A">
      <w:pPr>
        <w:widowControl/>
        <w:adjustRightInd w:val="0"/>
        <w:snapToGrid w:val="0"/>
        <w:spacing w:line="460" w:lineRule="exact"/>
        <w:ind w:left="480"/>
        <w:rPr>
          <w:rFonts w:ascii="標楷體" w:eastAsia="標楷體" w:hAnsi="標楷體"/>
          <w:sz w:val="28"/>
          <w:szCs w:val="28"/>
        </w:rPr>
      </w:pPr>
    </w:p>
    <w:sectPr w:rsidR="009F073A" w:rsidRPr="009F073A" w:rsidSect="00EB3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44" w:rsidRDefault="00721544" w:rsidP="00B63952">
      <w:r>
        <w:separator/>
      </w:r>
    </w:p>
  </w:endnote>
  <w:endnote w:type="continuationSeparator" w:id="0">
    <w:p w:rsidR="00721544" w:rsidRDefault="00721544" w:rsidP="00B6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44" w:rsidRDefault="00721544" w:rsidP="00B63952">
      <w:r>
        <w:separator/>
      </w:r>
    </w:p>
  </w:footnote>
  <w:footnote w:type="continuationSeparator" w:id="0">
    <w:p w:rsidR="00721544" w:rsidRDefault="00721544" w:rsidP="00B63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453"/>
    <w:multiLevelType w:val="hybridMultilevel"/>
    <w:tmpl w:val="AF7CC6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395A0F"/>
    <w:multiLevelType w:val="hybridMultilevel"/>
    <w:tmpl w:val="8FBA7C80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73A"/>
    <w:rsid w:val="00721544"/>
    <w:rsid w:val="009F073A"/>
    <w:rsid w:val="00B63952"/>
    <w:rsid w:val="00DF242B"/>
    <w:rsid w:val="00EB3C60"/>
    <w:rsid w:val="00E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6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39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39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3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張鳳抿</dc:creator>
  <cp:lastModifiedBy>Admin</cp:lastModifiedBy>
  <cp:revision>2</cp:revision>
  <dcterms:created xsi:type="dcterms:W3CDTF">2018-07-13T02:54:00Z</dcterms:created>
  <dcterms:modified xsi:type="dcterms:W3CDTF">2018-07-13T02:54:00Z</dcterms:modified>
</cp:coreProperties>
</file>