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3" w:type="pct"/>
        <w:tblInd w:w="-42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269"/>
        <w:gridCol w:w="8789"/>
      </w:tblGrid>
      <w:tr w:rsidR="00980134" w:rsidRPr="00980134" w:rsidTr="00980134">
        <w:tc>
          <w:tcPr>
            <w:tcW w:w="1026" w:type="pct"/>
            <w:tcBorders>
              <w:bottom w:val="dotted" w:sz="4" w:space="0" w:color="F1DDFF"/>
            </w:tcBorders>
            <w:shd w:val="clear" w:color="auto" w:fill="FDFDE4"/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line="408" w:lineRule="auto"/>
              <w:ind w:right="960"/>
              <w:jc w:val="righ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80134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法規名稱：</w:t>
            </w:r>
          </w:p>
        </w:tc>
        <w:tc>
          <w:tcPr>
            <w:tcW w:w="3974" w:type="pct"/>
            <w:tcBorders>
              <w:bottom w:val="dotted" w:sz="4" w:space="0" w:color="F1DDFF"/>
            </w:tcBorders>
            <w:shd w:val="clear" w:color="auto" w:fill="FDFDE4"/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line="408" w:lineRule="auto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hyperlink r:id="rId4" w:history="1">
              <w:r w:rsidRPr="00980134">
                <w:rPr>
                  <w:rFonts w:ascii="華康楷書體W5" w:eastAsia="華康楷書體W5" w:hAnsi="華康楷書體W5" w:cs="華康楷書體W5" w:hint="eastAsia"/>
                  <w:color w:val="0077B4"/>
                  <w:kern w:val="0"/>
                  <w:sz w:val="28"/>
                  <w:szCs w:val="28"/>
                  <w:u w:val="single"/>
                </w:rPr>
                <w:t>高級中等以下學校辦理學生團體保險辦法</w:t>
              </w:r>
            </w:hyperlink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(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民國</w:t>
            </w: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103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年</w:t>
            </w: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01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10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</w:rPr>
              <w:t>日修正)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980134" w:rsidRPr="00980134" w:rsidRDefault="00980134" w:rsidP="00980134">
      <w:pPr>
        <w:widowControl/>
        <w:shd w:val="clear" w:color="auto" w:fill="FFFFFF"/>
        <w:rPr>
          <w:rFonts w:ascii="Verdana" w:eastAsia="新細明體" w:hAnsi="Verdana" w:cs="新細明體"/>
          <w:vanish/>
          <w:color w:val="000000"/>
          <w:kern w:val="0"/>
          <w:szCs w:val="24"/>
        </w:rPr>
      </w:pPr>
    </w:p>
    <w:tbl>
      <w:tblPr>
        <w:tblW w:w="5000" w:type="pct"/>
        <w:tblBorders>
          <w:top w:val="single" w:sz="4" w:space="0" w:color="FFFFFF"/>
          <w:left w:val="single" w:sz="4" w:space="0" w:color="E3E9F2"/>
          <w:bottom w:val="single" w:sz="4" w:space="0" w:color="E3E9F2"/>
          <w:right w:val="single" w:sz="4" w:space="0" w:color="E3E9F2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72"/>
        <w:gridCol w:w="9642"/>
      </w:tblGrid>
      <w:tr w:rsidR="00980134" w:rsidRPr="00980134" w:rsidTr="00980134">
        <w:trPr>
          <w:hidden/>
        </w:trPr>
        <w:tc>
          <w:tcPr>
            <w:tcW w:w="280" w:type="pct"/>
            <w:tcBorders>
              <w:bottom w:val="dotted" w:sz="4" w:space="0" w:color="F1DDFF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line="408" w:lineRule="auto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  <w:tc>
          <w:tcPr>
            <w:tcW w:w="4720" w:type="pct"/>
            <w:tcBorders>
              <w:bottom w:val="dotted" w:sz="4" w:space="0" w:color="F1DDFF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line="408" w:lineRule="auto"/>
              <w:rPr>
                <w:rFonts w:ascii="細明體" w:eastAsia="細明體" w:hAnsi="細明體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980134" w:rsidRPr="00980134" w:rsidTr="00980134">
        <w:tc>
          <w:tcPr>
            <w:tcW w:w="280" w:type="pct"/>
            <w:tcBorders>
              <w:bottom w:val="dotted" w:sz="4" w:space="0" w:color="F1DDFF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/>
                <w:color w:val="000000"/>
                <w:kern w:val="0"/>
                <w:szCs w:val="24"/>
              </w:rPr>
            </w:pPr>
          </w:p>
        </w:tc>
        <w:tc>
          <w:tcPr>
            <w:tcW w:w="4720" w:type="pct"/>
            <w:tcBorders>
              <w:bottom w:val="dotted" w:sz="4" w:space="0" w:color="F1DDFF"/>
            </w:tcBorders>
            <w:tcMar>
              <w:top w:w="36" w:type="dxa"/>
              <w:left w:w="0" w:type="dxa"/>
              <w:bottom w:w="36" w:type="dxa"/>
              <w:right w:w="0" w:type="dxa"/>
            </w:tcMar>
            <w:hideMark/>
          </w:tcPr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一　條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本辦法依高級中等教育法第五十九條第一項及國民教育法第五條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之一第一項規定訂定之。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二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本辦法適用於下列學校（以下簡稱學校）：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一、高級中等學校。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二、高級中等學校進修部。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三、國立大學或國立高級中等學校附設之國民中學及國民小學。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三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學校應依政府採購法之規定辦理學生團體保險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以下簡稱本保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險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，得標之保險公司為保險人，參加保險之學校為要保單位，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由校長或其職務代理人為要保單位代表人。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前項採購，得由教育部會商直轄市、縣（市）主管機關辦理。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四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學生應參加本保險，為被保險人。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六十五歲以上之學生，應提出健康告知文件，供作保險人決定是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否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予以納保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之參據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五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被保險人因疾病或遭遇意外事故，致死亡、殘廢、傷害或需要治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療者，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均屬本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保險責任範圍。但因疾病所致之門診費用，不包括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在內。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每一被保險人之保險金額為新臺幣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百萬元。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本保險內容之給付項目及給付金額如附表。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六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本保險之保險費，由學校主管機關每學年補助三分之一，其餘由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被保險人或其法定代理人分二次於上下學期註冊時各繳納二分之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七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下列被保險人，應由要保單位審核其有關證明文件，造具名冊送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lastRenderedPageBreak/>
              <w:t xml:space="preserve">　　　　　保險人彙計，函報前條補助機關予以全額補助，不受前條規定之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限制：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一、經戶籍所在地直轄市、縣（市）政府或鄉（鎮、市、區）公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所證明低收入戶之學生。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二、持有身心障礙手冊之重度以上身心障礙學生及重度以上身心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障礙人士之子女。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三、具有原住民身分之學生。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四、就讀於各機關學校公教員工地域加給表所定高山地區第三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級、第四級地區之學校或山地偏遠地區學校之學生。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六十五歲以上之學生，未能參加本保險而自行投保者，依前條所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定保險費三分之一金額補助。但符合前項各款規定之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者，依前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條所定保險費全額補助。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八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依前條規定予以全額補助保險費之學生，因疾病或傷害住院，自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其事故發生之日起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年內，施行保險單條款列舉之重大手術者，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除本保險應享之保險給付外，得檢具醫療費用收據，向保險人專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案申請補助手術費用，最高以新臺幣二十萬元為限。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九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本保險有效期間自每年八月一日起至翌年七月三十一日止。參加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本保險之學生，註冊繳納保險費在八月一日以後者，保險效力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溯</w:t>
            </w:r>
            <w:proofErr w:type="gramEnd"/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自八月一日起生效。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參加本保險之應屆畢業生錄取大專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校院且完成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註冊，並繳交完成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大專校院學生團體保險保險費者，自完成日起本保險效力終止。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前項應屆畢業生未繼續升學者，其本保險效力至八月三十一日終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止。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　十　條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學期開學後，學生中途入學者，自入學核准之日發生保險效力，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並扣除入學前期間之保險費。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學生喪失學籍，自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喪失日次月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起，保險效力終止，保險人應依所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剩月數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比率，退還保險費。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學生轉學時，其參加同一保險人者，保險費不予退還，保險契約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lastRenderedPageBreak/>
              <w:t xml:space="preserve">　　　　　繼續有效，由要保單位向保險人辦理異動通知。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       </w:t>
            </w: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學生休學者，保險契約繼續有效，由要保單位將休學學生姓名、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學號等資料，通知保險人。休學期滿喪失學籍時，要保單位應通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知保險人。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  十一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被保險人具有下列情事之一，致死亡、殘廢、傷害或疾病者，保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險人不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負給付保險金之責任：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一、被保險人之故意自殺行為。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二、被保險人之犯罪行為。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三、被保險人之非因保險事故所施行之外科手術、整形美容或天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生畸形整復。但因遭受意外傷害事故所致之必要外科整形，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不在此限。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四、戰爭（不論宣戰與否）、內亂及其他類似之武裝叛變。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五、被保險人或受益人之故意行為。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  十二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被保險人具有下列情事之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者，保險人不負給付保險金之責任：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一、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牙科鑲補或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裝設義齒、眼鏡或其他附屬品。但因遭受意外傷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　　害事故所致者，不在此限，且其裝設以一次為限。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二、健康檢查、療養或靜養。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三、掛號、診斷書、傷患運送、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病房陪護或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指定醫師等費用。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四、未領有醫師執業執照者之醫療。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  十三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學校應於每學期註冊時，於收取學生代收費用收據內增列保險費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一項，並於收取後二十日內，填造要保書、被保險人名冊二份，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連同代收之保險費，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繳送保險人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或其指定機構，由保險人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掣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發保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險費收據，交由各學校存執。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          學校未依前項規定辦理者，應由各該主管機關督導及催繳。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  十四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本辦法未規定事項，依保險單所載保險條款之規定辦理。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第  十五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特殊教育學校得</w:t>
            </w:r>
            <w:proofErr w:type="gramStart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>用本辦法之規定。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lastRenderedPageBreak/>
              <w:t>第  十六  條            </w:t>
            </w:r>
          </w:p>
          <w:p w:rsidR="00980134" w:rsidRPr="00980134" w:rsidRDefault="00980134" w:rsidP="00980134">
            <w:pPr>
              <w:widowControl/>
              <w:spacing w:beforeLines="50" w:afterLines="50" w:line="300" w:lineRule="exact"/>
              <w:rPr>
                <w:rFonts w:ascii="華康楷書體W5" w:eastAsia="華康楷書體W5" w:hAnsi="華康楷書體W5" w:cs="華康楷書體W5"/>
                <w:color w:val="000000"/>
                <w:kern w:val="0"/>
                <w:szCs w:val="24"/>
              </w:rPr>
            </w:pPr>
            <w:r w:rsidRPr="00980134">
              <w:rPr>
                <w:rFonts w:ascii="華康楷書體W5" w:eastAsia="華康楷書體W5" w:hAnsi="華康楷書體W5" w:cs="華康楷書體W5" w:hint="eastAsia"/>
                <w:color w:val="000000"/>
                <w:kern w:val="0"/>
                <w:szCs w:val="24"/>
              </w:rPr>
              <w:t xml:space="preserve">　　　　　本辦法自中華民國一百零三年八月一日施行。</w:t>
            </w:r>
          </w:p>
        </w:tc>
      </w:tr>
    </w:tbl>
    <w:p w:rsidR="00014EB4" w:rsidRPr="00980134" w:rsidRDefault="00014EB4" w:rsidP="00980134">
      <w:pPr>
        <w:spacing w:beforeLines="50" w:afterLines="50" w:line="300" w:lineRule="exact"/>
        <w:rPr>
          <w:rFonts w:ascii="華康楷書體W5" w:eastAsia="華康楷書體W5" w:hAnsi="華康楷書體W5" w:cs="華康楷書體W5"/>
          <w:szCs w:val="24"/>
        </w:rPr>
      </w:pPr>
    </w:p>
    <w:sectPr w:rsidR="00014EB4" w:rsidRPr="00980134" w:rsidSect="009801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134"/>
    <w:rsid w:val="00014EB4"/>
    <w:rsid w:val="009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basedOn w:val="a0"/>
    <w:rsid w:val="00980134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06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law.moe.gov.tw/LawContent.aspx?id=FL0088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2017-01-16T12:24:00Z</dcterms:created>
  <dcterms:modified xsi:type="dcterms:W3CDTF">2017-01-16T12:34:00Z</dcterms:modified>
</cp:coreProperties>
</file>